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19" w:rsidRDefault="001C3E19" w:rsidP="00CA4092">
      <w:pPr>
        <w:autoSpaceDE w:val="0"/>
        <w:autoSpaceDN w:val="0"/>
        <w:adjustRightInd w:val="0"/>
        <w:spacing w:after="0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570F12" w:rsidRPr="00835D13" w:rsidRDefault="00570F12" w:rsidP="00CA4092">
      <w:pPr>
        <w:autoSpaceDE w:val="0"/>
        <w:autoSpaceDN w:val="0"/>
        <w:adjustRightInd w:val="0"/>
        <w:spacing w:after="0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835D13">
        <w:rPr>
          <w:rFonts w:ascii="Times New Roman" w:eastAsia="Times-Bold" w:hAnsi="Times New Roman" w:cs="Times New Roman"/>
          <w:b/>
          <w:bCs/>
          <w:sz w:val="28"/>
          <w:szCs w:val="28"/>
        </w:rPr>
        <w:t>УТВЕРЖДЕНА</w:t>
      </w:r>
    </w:p>
    <w:p w:rsidR="00570F12" w:rsidRPr="00835D13" w:rsidRDefault="00570F12" w:rsidP="00CA4092">
      <w:pPr>
        <w:autoSpaceDE w:val="0"/>
        <w:autoSpaceDN w:val="0"/>
        <w:adjustRightInd w:val="0"/>
        <w:spacing w:after="0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835D1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приказом начальника управления </w:t>
      </w:r>
    </w:p>
    <w:p w:rsidR="00570F12" w:rsidRPr="00835D13" w:rsidRDefault="0032340C" w:rsidP="00CA4092">
      <w:pPr>
        <w:autoSpaceDE w:val="0"/>
        <w:autoSpaceDN w:val="0"/>
        <w:adjustRightInd w:val="0"/>
        <w:spacing w:after="0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       образования от 04.07.2022 № 227</w:t>
      </w:r>
    </w:p>
    <w:p w:rsidR="00AE7C66" w:rsidRDefault="00570F12" w:rsidP="001B1A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209E1" w:rsidRPr="001B1AA1">
        <w:rPr>
          <w:rFonts w:ascii="Times New Roman" w:hAnsi="Times New Roman" w:cs="Times New Roman"/>
          <w:b/>
          <w:sz w:val="28"/>
          <w:szCs w:val="28"/>
        </w:rPr>
        <w:t>П</w:t>
      </w:r>
      <w:r w:rsidR="00493CAB" w:rsidRPr="001B1AA1">
        <w:rPr>
          <w:rFonts w:ascii="Times New Roman" w:hAnsi="Times New Roman" w:cs="Times New Roman"/>
          <w:b/>
          <w:sz w:val="28"/>
          <w:szCs w:val="28"/>
        </w:rPr>
        <w:t>одпрограмма</w:t>
      </w:r>
      <w:r w:rsidR="008E653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93CAB" w:rsidRPr="001B1AA1">
        <w:rPr>
          <w:rFonts w:ascii="Times New Roman" w:hAnsi="Times New Roman" w:cs="Times New Roman"/>
          <w:b/>
          <w:sz w:val="28"/>
          <w:szCs w:val="28"/>
        </w:rPr>
        <w:t>по</w:t>
      </w:r>
      <w:r w:rsidR="00B715DD" w:rsidRPr="001B1AA1">
        <w:rPr>
          <w:rFonts w:ascii="Times New Roman" w:hAnsi="Times New Roman" w:cs="Times New Roman"/>
          <w:b/>
          <w:sz w:val="28"/>
          <w:szCs w:val="28"/>
        </w:rPr>
        <w:t xml:space="preserve"> самоопределению и проф</w:t>
      </w:r>
      <w:r w:rsidR="00BB232B" w:rsidRPr="001B1AA1">
        <w:rPr>
          <w:rFonts w:ascii="Times New Roman" w:hAnsi="Times New Roman" w:cs="Times New Roman"/>
          <w:b/>
          <w:sz w:val="28"/>
          <w:szCs w:val="28"/>
        </w:rPr>
        <w:t xml:space="preserve">ессиональной </w:t>
      </w:r>
      <w:r w:rsidR="00B715DD" w:rsidRPr="001B1AA1">
        <w:rPr>
          <w:rFonts w:ascii="Times New Roman" w:hAnsi="Times New Roman" w:cs="Times New Roman"/>
          <w:b/>
          <w:sz w:val="28"/>
          <w:szCs w:val="28"/>
        </w:rPr>
        <w:t>ориентации обучающихся</w:t>
      </w:r>
    </w:p>
    <w:p w:rsidR="0058048C" w:rsidRPr="0058048C" w:rsidRDefault="0058048C" w:rsidP="0058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C">
        <w:rPr>
          <w:rFonts w:ascii="Times New Roman" w:hAnsi="Times New Roman" w:cs="Times New Roman"/>
          <w:sz w:val="28"/>
          <w:szCs w:val="28"/>
        </w:rPr>
        <w:t>Подпрограмма по реализации Концепции региональной системы по самоопределению и профессиональной ориентации обучающихся Пермского края на уровне общеобразовательных организаций разработана на основании приказа Министерства образования и науки Пермского края от 15.04.2021 № 26-01-06-376 «Об утверждении Концепции региональной системы по самоопределению и профессиональной ориентации обучающихся Пермского края» и Методических рекомендаций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(ФИОКО)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5"/>
        <w:gridCol w:w="999"/>
        <w:gridCol w:w="4655"/>
        <w:gridCol w:w="1615"/>
        <w:gridCol w:w="1615"/>
        <w:gridCol w:w="1615"/>
        <w:gridCol w:w="1612"/>
      </w:tblGrid>
      <w:tr w:rsidR="00FA76F6" w:rsidRPr="005209E1" w:rsidTr="00796453">
        <w:trPr>
          <w:trHeight w:val="1030"/>
        </w:trPr>
        <w:tc>
          <w:tcPr>
            <w:tcW w:w="905" w:type="pct"/>
          </w:tcPr>
          <w:p w:rsidR="00FA76F6" w:rsidRPr="005209E1" w:rsidRDefault="00FA76F6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58048C" w:rsidRPr="005209E1" w:rsidRDefault="00FA76F6" w:rsidP="0058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="0058048C">
              <w:rPr>
                <w:rFonts w:ascii="Times New Roman" w:hAnsi="Times New Roman" w:cs="Times New Roman"/>
                <w:sz w:val="24"/>
                <w:szCs w:val="24"/>
              </w:rPr>
              <w:t>ограмма по</w:t>
            </w:r>
            <w:r w:rsidR="009E2D6D" w:rsidRPr="00FA471C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самоопределению и профессиональной ориентации обучающихся</w:t>
            </w:r>
            <w:r w:rsidR="00DD4821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с 2022-2024 г.</w:t>
            </w:r>
          </w:p>
        </w:tc>
      </w:tr>
      <w:tr w:rsidR="00FA2CC2" w:rsidRPr="005209E1" w:rsidTr="00796453">
        <w:trPr>
          <w:trHeight w:val="1030"/>
        </w:trPr>
        <w:tc>
          <w:tcPr>
            <w:tcW w:w="905" w:type="pct"/>
          </w:tcPr>
          <w:p w:rsidR="00FA2CC2" w:rsidRPr="005209E1" w:rsidRDefault="00FA2CC2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целей и задач</w:t>
            </w:r>
          </w:p>
        </w:tc>
        <w:tc>
          <w:tcPr>
            <w:tcW w:w="4095" w:type="pct"/>
            <w:gridSpan w:val="6"/>
          </w:tcPr>
          <w:p w:rsidR="00FA2CC2" w:rsidRPr="00FA2CC2" w:rsidRDefault="00FA2CC2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>альной системы работы по самоопределению и профессиональной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исходя из требований федеральных и региональных нормативно-правых актов, регламентирующих организацию образовательной деятельности на уровне общего образования, анализа существующего состояния и динамики развития системы общего образования Пермского края, а также существующих педагогических подходов к сопровождению профессионального самоопределения обучающихся. Цели </w:t>
            </w:r>
            <w:r w:rsidR="00497979">
              <w:rPr>
                <w:rFonts w:ascii="Times New Roman" w:hAnsi="Times New Roman" w:cs="Times New Roman"/>
                <w:sz w:val="24"/>
                <w:szCs w:val="24"/>
              </w:rPr>
              <w:t>ориентированы на создание условий для совершени</w:t>
            </w:r>
            <w:r w:rsidR="00E00C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797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выбора</w:t>
            </w:r>
            <w:r w:rsidR="00F74227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траектории обучения выпускниками уровня основного общего образования, повышение эффективности </w:t>
            </w:r>
            <w:proofErr w:type="spellStart"/>
            <w:r w:rsidR="00F74227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="00F7422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среднего общего образования и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жают основные этапы, связанные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с формированием и реализацией профессионального выбора: </w:t>
            </w:r>
          </w:p>
          <w:p w:rsidR="00FA2CC2" w:rsidRPr="00FA2CC2" w:rsidRDefault="00FA2CC2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базы (информирование </w:t>
            </w:r>
            <w:r w:rsidR="00E00CBA" w:rsidRPr="00FA2CC2">
              <w:rPr>
                <w:rFonts w:ascii="Times New Roman" w:hAnsi="Times New Roman" w:cs="Times New Roman"/>
                <w:sz w:val="24"/>
                <w:szCs w:val="24"/>
              </w:rPr>
              <w:t>обучающихся о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мире профессий и системе </w:t>
            </w:r>
            <w:proofErr w:type="spellStart"/>
            <w:r w:rsidRPr="00FA2CC2">
              <w:rPr>
                <w:rFonts w:ascii="Times New Roman" w:hAnsi="Times New Roman" w:cs="Times New Roman"/>
                <w:sz w:val="24"/>
                <w:szCs w:val="24"/>
              </w:rPr>
              <w:t>послешкольного</w:t>
            </w:r>
            <w:proofErr w:type="spellEnd"/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образования), </w:t>
            </w:r>
          </w:p>
          <w:p w:rsidR="00FA2CC2" w:rsidRPr="00FA2CC2" w:rsidRDefault="00FA2CC2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мотивационной базы (формирование у обучающихся интересов и предпочтений в сфере профессионального самоопределения), </w:t>
            </w:r>
          </w:p>
          <w:p w:rsidR="00FA2CC2" w:rsidRPr="00FA2CC2" w:rsidRDefault="00FA2CC2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обучающихся, направленное на формирование условий для практической деятельности (в режиме пробного действия или реализации образовательной траектории в соответствии с сформированными предпочтениями), </w:t>
            </w:r>
          </w:p>
          <w:p w:rsidR="00FA2CC2" w:rsidRPr="005209E1" w:rsidRDefault="00FA2CC2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>реализация профессионального выбора (в рамках осознанного выбора предметов для углубленного изучения, предметов для сдачи экзаменов и поступления в соответствии с индивидуальными учебными планами).</w:t>
            </w:r>
          </w:p>
        </w:tc>
      </w:tr>
      <w:tr w:rsidR="008A4C01" w:rsidRPr="005209E1" w:rsidTr="008A4C01">
        <w:trPr>
          <w:trHeight w:val="1030"/>
        </w:trPr>
        <w:tc>
          <w:tcPr>
            <w:tcW w:w="5000" w:type="pct"/>
            <w:gridSpan w:val="7"/>
          </w:tcPr>
          <w:p w:rsidR="008A4C01" w:rsidRPr="008A4C01" w:rsidRDefault="008A4C01" w:rsidP="00FA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  <w:r w:rsidRPr="008A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ормирование информационной базы (информирование обучающихся  о мире профессий и системе </w:t>
            </w:r>
            <w:proofErr w:type="spellStart"/>
            <w:r w:rsidRPr="008A4C01">
              <w:rPr>
                <w:rFonts w:ascii="Times New Roman" w:hAnsi="Times New Roman" w:cs="Times New Roman"/>
                <w:b/>
                <w:sz w:val="24"/>
                <w:szCs w:val="24"/>
              </w:rPr>
              <w:t>послешкольного</w:t>
            </w:r>
            <w:proofErr w:type="spellEnd"/>
            <w:r w:rsidRPr="008A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образования)</w:t>
            </w:r>
          </w:p>
        </w:tc>
      </w:tr>
      <w:tr w:rsidR="00A12DBA" w:rsidRPr="005209E1" w:rsidTr="00796453">
        <w:trPr>
          <w:trHeight w:val="909"/>
        </w:trPr>
        <w:tc>
          <w:tcPr>
            <w:tcW w:w="905" w:type="pct"/>
          </w:tcPr>
          <w:p w:rsidR="00A12DBA" w:rsidRPr="005209E1" w:rsidRDefault="00A12DBA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4095" w:type="pct"/>
            <w:gridSpan w:val="6"/>
          </w:tcPr>
          <w:p w:rsidR="000C5BE8" w:rsidRPr="005209E1" w:rsidRDefault="0001171C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>овышение уровня инфо</w:t>
            </w:r>
            <w:r w:rsidR="00FA2CC2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рмированности обучающихся  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>о существующих профессиях, их содержании, а также связи уровня получаемого образования и возможности профессиональной деятельности.</w:t>
            </w:r>
          </w:p>
        </w:tc>
      </w:tr>
      <w:tr w:rsidR="000527EB" w:rsidRPr="005209E1" w:rsidTr="00796453">
        <w:trPr>
          <w:trHeight w:val="373"/>
        </w:trPr>
        <w:tc>
          <w:tcPr>
            <w:tcW w:w="905" w:type="pct"/>
          </w:tcPr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95" w:type="pct"/>
            <w:gridSpan w:val="6"/>
          </w:tcPr>
          <w:p w:rsidR="00FA2CC2" w:rsidRPr="008A4C01" w:rsidRDefault="008A4C01" w:rsidP="00E00CB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начального, основного </w:t>
            </w:r>
            <w:r w:rsidR="00FA2CC2" w:rsidRPr="008A4C01">
              <w:rPr>
                <w:rFonts w:ascii="Times New Roman" w:hAnsi="Times New Roman" w:cs="Times New Roman"/>
                <w:sz w:val="24"/>
                <w:szCs w:val="24"/>
              </w:rPr>
              <w:t>и среднего общего уровней образования (далее соответственно – НОО, ООО, СОО) представлений об особенностях различных сфер профессиональной деятельности в соответствии с возрастными возможностями;</w:t>
            </w:r>
          </w:p>
          <w:p w:rsidR="00FA2CC2" w:rsidRPr="00FA2CC2" w:rsidRDefault="008A4C01" w:rsidP="00E00CB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охват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6-7-х классов </w:t>
            </w:r>
            <w:proofErr w:type="spellStart"/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мероприятиями, в том числе с использованием открытых онлайн-уроков;</w:t>
            </w:r>
          </w:p>
          <w:p w:rsidR="00FA2CC2" w:rsidRPr="00FA2CC2" w:rsidRDefault="008A4C01" w:rsidP="00E00CB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ООО и СОО в информационных, практико-ориентированных мероприятиях, направленных на знакомство с миром профессий, предприятиями 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ЛГО, 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>Пермского края;</w:t>
            </w:r>
          </w:p>
          <w:p w:rsidR="007E6F9F" w:rsidRPr="00D43985" w:rsidRDefault="008A4C01" w:rsidP="00E00CB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>охват обучающихся ООО диагностическими мероприятиями, направленными на определение уровня знаний обучающихся об особенностях различных сфер профессиональной деятельности (региональная диагностика готовности к профессиональному самоопределению).</w:t>
            </w:r>
          </w:p>
        </w:tc>
      </w:tr>
      <w:tr w:rsidR="008A4C01" w:rsidRPr="005209E1" w:rsidTr="008A4C01">
        <w:trPr>
          <w:trHeight w:val="373"/>
        </w:trPr>
        <w:tc>
          <w:tcPr>
            <w:tcW w:w="5000" w:type="pct"/>
            <w:gridSpan w:val="7"/>
          </w:tcPr>
          <w:p w:rsidR="008A4C01" w:rsidRPr="008A4C01" w:rsidRDefault="008A4C01" w:rsidP="008A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B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A4C01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мотивационной базы (формирование у обучающихся интересов и предпочтений в сфере профессионального самоопределения)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Pr="005209E1" w:rsidRDefault="008A4C01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095" w:type="pct"/>
            <w:gridSpan w:val="6"/>
          </w:tcPr>
          <w:p w:rsidR="00FA2CC2" w:rsidRPr="008A4C01" w:rsidRDefault="0001171C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4C01" w:rsidRPr="008A4C0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у обучающихся ООО и СОО устойчивого интереса и предпочтений в сфере профессионального самоопределения.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Pr="005209E1" w:rsidRDefault="008A4C01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95" w:type="pct"/>
            <w:gridSpan w:val="6"/>
          </w:tcPr>
          <w:p w:rsidR="008A4C01" w:rsidRDefault="008A4C01" w:rsidP="00E00CB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</w:t>
            </w:r>
            <w:r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ООО в диагностических мероприятиях, направленных на определение их интересов и </w:t>
            </w:r>
            <w:r w:rsidR="00E00CBA"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предпочтений </w:t>
            </w:r>
            <w:r w:rsidR="00E00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 сфере профессионального самоопределения (региональная диагностика готовности к профессиональному самоопределению);</w:t>
            </w:r>
          </w:p>
          <w:p w:rsidR="008A4C01" w:rsidRDefault="008A4C01" w:rsidP="00E00CB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прохождение</w:t>
            </w:r>
            <w:r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ООО и СОО онлайн- диагностики и участие в </w:t>
            </w:r>
            <w:proofErr w:type="spellStart"/>
            <w:r w:rsidRPr="008A4C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 уроках в рамках проекта «Билет в будущее»;</w:t>
            </w:r>
          </w:p>
          <w:p w:rsidR="00FA2CC2" w:rsidRPr="008A4C01" w:rsidRDefault="008A4C01" w:rsidP="00E00CB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увеличению</w:t>
            </w:r>
            <w:r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 доли обучающихся по индивидуальным учебным планам на уровне СОО.</w:t>
            </w:r>
          </w:p>
        </w:tc>
      </w:tr>
      <w:tr w:rsidR="0001171C" w:rsidRPr="005209E1" w:rsidTr="0001171C">
        <w:trPr>
          <w:trHeight w:val="373"/>
        </w:trPr>
        <w:tc>
          <w:tcPr>
            <w:tcW w:w="5000" w:type="pct"/>
            <w:gridSpan w:val="7"/>
          </w:tcPr>
          <w:p w:rsidR="0001171C" w:rsidRPr="0001171C" w:rsidRDefault="0001171C" w:rsidP="0001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11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опровождение обучающихся, направленное на формирование условий для практической деятельности (в режиме пробного действия или реализации образовательной траектории в соответствии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сформированными предпочтениями)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Pr="005209E1" w:rsidRDefault="0001171C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A4C01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4095" w:type="pct"/>
            <w:gridSpan w:val="6"/>
          </w:tcPr>
          <w:p w:rsidR="00FA2CC2" w:rsidRPr="0001171C" w:rsidRDefault="0001171C" w:rsidP="0001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овышение охвата обучающихся ООО и СОО комплексными мероприятиями, направленными на развитие готовности к профессиональному самоопределению.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Pr="005209E1" w:rsidRDefault="0001171C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95" w:type="pct"/>
            <w:gridSpan w:val="6"/>
          </w:tcPr>
          <w:p w:rsidR="0001171C" w:rsidRDefault="0001171C" w:rsidP="00E00C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охват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ООО и СОО образовательными программами, модулями, курсами, направленными на профессиональное самоопределение;</w:t>
            </w:r>
          </w:p>
          <w:p w:rsidR="0001171C" w:rsidRDefault="0001171C" w:rsidP="00E00C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охват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СОО мероприятиями проектной деятельности, конкурсами, направленными на профессиональное самоопределение, в том числе в рамках реализации федеральных проектов;</w:t>
            </w:r>
          </w:p>
          <w:p w:rsidR="0001171C" w:rsidRDefault="0001171C" w:rsidP="00E00C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охват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комплексными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 по профессиональному самоопределению, включая мониторинг из образовательных траекторий;</w:t>
            </w:r>
          </w:p>
          <w:p w:rsidR="00FA2CC2" w:rsidRPr="0001171C" w:rsidRDefault="0001171C" w:rsidP="00E00C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охват обучающихся ООО и СОО комплексными мероприятиями по профессиональному самоопределению на базе сети новых сущностей дополнительного образования.</w:t>
            </w:r>
          </w:p>
        </w:tc>
      </w:tr>
      <w:tr w:rsidR="0001171C" w:rsidRPr="005209E1" w:rsidTr="0001171C">
        <w:trPr>
          <w:trHeight w:val="373"/>
        </w:trPr>
        <w:tc>
          <w:tcPr>
            <w:tcW w:w="5000" w:type="pct"/>
            <w:gridSpan w:val="7"/>
          </w:tcPr>
          <w:p w:rsidR="0001171C" w:rsidRPr="0001171C" w:rsidRDefault="0001171C" w:rsidP="0001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01171C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еализация профессионального выбора (в рамках осознанного выбора предметов для углубленного изучения, предметов для сдачи экзаменов и поступления в соответствии с индивидуальными учебными планами).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Default="0001171C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FA2CC2" w:rsidRPr="005209E1" w:rsidRDefault="00FA2CC2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FA2CC2" w:rsidRPr="0001171C" w:rsidRDefault="0001171C" w:rsidP="0001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эффективной реализации обучающимися собственного профессионального выбора с учетом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муниципалитета и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региона в кадрах.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Pr="005209E1" w:rsidRDefault="0001171C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95" w:type="pct"/>
            <w:gridSpan w:val="6"/>
          </w:tcPr>
          <w:p w:rsidR="0001171C" w:rsidRDefault="0001171C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ООО и СОО в мероприятиях, организованных в рамках социального партнерства школ с профессиональными образовательными организациями и (или) образовательными организациями высшего образования, предприятиями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ЛГО и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Пермского края;</w:t>
            </w:r>
          </w:p>
          <w:p w:rsidR="0001171C" w:rsidRDefault="0001171C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доли обучающихся, выбравших предметы, изучавшиеся на углубленном уровне, для сдачи государственной итоговой аттестации, от общего числа выпускников 11-го класса, изучавших учебный предмет на углубленном уровне;</w:t>
            </w:r>
          </w:p>
          <w:p w:rsidR="0001171C" w:rsidRDefault="0001171C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учет обучающихся, поступивших в профессиональные образовательные организации и образовательные организации высшего образования по профилю обучения;</w:t>
            </w:r>
          </w:p>
          <w:p w:rsidR="0001171C" w:rsidRDefault="0001171C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</w:t>
            </w:r>
            <w:r w:rsidR="00497979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подготовки, востребованных в </w:t>
            </w:r>
            <w:r w:rsidR="00497979">
              <w:rPr>
                <w:rFonts w:ascii="Times New Roman" w:hAnsi="Times New Roman" w:cs="Times New Roman"/>
                <w:sz w:val="24"/>
                <w:szCs w:val="24"/>
              </w:rPr>
              <w:t xml:space="preserve">ЛГО и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Пермском крае, в образовательных организациях высшего образования, расположенных в Пермском крае;</w:t>
            </w:r>
          </w:p>
          <w:p w:rsidR="0001171C" w:rsidRDefault="00E00CBA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учет</w:t>
            </w:r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участвующих в конкурсах </w:t>
            </w:r>
            <w:proofErr w:type="spellStart"/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</w:t>
            </w:r>
            <w:proofErr w:type="spellStart"/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проводящихся на базе профессиональных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образования, расположенных в Пермском крае;</w:t>
            </w:r>
          </w:p>
          <w:p w:rsidR="00FA2CC2" w:rsidRPr="00497979" w:rsidRDefault="0001171C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трудоустройства выпускников профессиональных образовательных организаций, расположенных в Пермском крае.</w:t>
            </w:r>
          </w:p>
        </w:tc>
      </w:tr>
      <w:tr w:rsidR="00BE0FF6" w:rsidRPr="005209E1" w:rsidTr="00BE0FF6">
        <w:trPr>
          <w:trHeight w:val="312"/>
        </w:trPr>
        <w:tc>
          <w:tcPr>
            <w:tcW w:w="905" w:type="pct"/>
            <w:vMerge w:val="restart"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0FF6" w:rsidRPr="005209E1" w:rsidRDefault="00BE0FF6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637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E0FF6" w:rsidRPr="00EC6685" w:rsidRDefault="00EC6685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Прогнозные значения</w:t>
            </w:r>
          </w:p>
        </w:tc>
      </w:tr>
      <w:tr w:rsidR="00BE0FF6" w:rsidRPr="005209E1" w:rsidTr="00BE0FF6">
        <w:trPr>
          <w:trHeight w:val="312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</w:tcBorders>
          </w:tcPr>
          <w:p w:rsidR="00BE0FF6" w:rsidRPr="005209E1" w:rsidRDefault="00BE0FF6" w:rsidP="00796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</w:tcPr>
          <w:p w:rsidR="00BE0FF6" w:rsidRPr="005209E1" w:rsidRDefault="00EC6685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</w:tcPr>
          <w:p w:rsidR="00BE0FF6" w:rsidRPr="005209E1" w:rsidRDefault="00EC6685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</w:tcPr>
          <w:p w:rsidR="00BE0FF6" w:rsidRPr="005209E1" w:rsidRDefault="00EC6685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E0FF6" w:rsidRPr="005209E1" w:rsidTr="00B95B33">
        <w:trPr>
          <w:trHeight w:val="47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Pr="005209E1" w:rsidRDefault="00BE0FF6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>Проведение ранней профориентации обучающихся</w:t>
            </w:r>
          </w:p>
        </w:tc>
      </w:tr>
      <w:tr w:rsidR="00BE0FF6" w:rsidRPr="005209E1" w:rsidTr="00B95B33">
        <w:trPr>
          <w:trHeight w:val="47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BE0FF6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6-7 классов, охваченных </w:t>
            </w:r>
            <w:proofErr w:type="spellStart"/>
            <w:r w:rsidRPr="0032340C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3234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мероприятиями, в том числе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открытых онлайн-уроков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BE0FF6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4 классов, справившихся с заданиями Всероссийских проверочных работ по предмету «Окружающий мир» (далее – ВПР) по окружающему миру), устанавливающих оценку </w:t>
            </w:r>
            <w:proofErr w:type="spellStart"/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массовых профессиях, от общей численности всех обучающихся 4 классов, участвовав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в ВПР по окружающему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миру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Pr="005209E1" w:rsidRDefault="00BE0FF6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>Выявление предпоч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тений обучающихся  </w:t>
            </w: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профессиональной ориентации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по основным образовательным программам основного общего образования, прошедших онлайн-диагностику в рамках проекта «Билет в будущее», от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численности всех обучающихся </w:t>
            </w:r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основным образовательным программам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общего образования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8 и</w:t>
            </w: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классов,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ошедших диагностику готовности </w:t>
            </w: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профессиональному самоопределению, от общей численности всех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8 и 9 классов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3145F7" w:rsidRDefault="00BE0FF6" w:rsidP="0031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Pr="003145F7" w:rsidRDefault="00BE0FF6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3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обучающихся </w:t>
            </w:r>
            <w:r w:rsidRPr="0091037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обучающихся с ОВЗ)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3145F7" w:rsidRDefault="00BE0FF6" w:rsidP="0031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3145F7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3">
              <w:rPr>
                <w:rFonts w:ascii="Times New Roman" w:hAnsi="Times New Roman" w:cs="Times New Roman"/>
                <w:sz w:val="24"/>
                <w:szCs w:val="24"/>
              </w:rPr>
              <w:t>доля обучающихся 5-9 классов, охваченных мероприятиями, направленными                           на раннюю профессиональную ориентацию, в том числе в рамках программы «Билет в будущее», от общей численности всех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5-9 классов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E269CA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B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 обучающимися на уровне основного общего образования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выпускников 9 классов, поступивших в профессиональные образовательные организации в текущем году, от общей численности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классов текущем году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предпочтений обучающихся на уровне среднего общего образования (далее – СОО) в области профессиональной ориентации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A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10-11 классов</w:t>
            </w: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краевом проекте «Открытый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направлениям/предметам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A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профессионального самоопределения обучающихся на уровне СОО (в том числе обучающихся с ОВЗ)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CB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ЛГО</w:t>
            </w: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осуществляющих взаимодействие с учреждениями/предприятиями  в рамках соглашений/договоров о сотрудничестве, договоров о сетевом взаимодействии/о сетевой форме реализации </w:t>
            </w: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программ, от общего количества всех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ательных организаций ЛГО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B0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10-11 классов, принявших участие в мероприятиях, организованных            в рамках социального партнерства школ с профессиональными образовательными организациями и (или) образовательными организациями высшего образования, от общей численности всех обучающихся 10-11 классов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B0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Pr="005209E1" w:rsidRDefault="00BE0FF6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СОО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B0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поступивших в профессиональные образовательные организации в текущем году, от общего количества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</w:t>
            </w: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3F6581" w:rsidRDefault="00BE0FF6" w:rsidP="00894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68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 классов общеобразовательных организаций Пермского края, поступивших в образовательные организации высшего образования в текущем году, от общего количества выпускников 11 классов общеобразовательных организаций региона в текущем году,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3F6581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EC6685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EC6685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EC6685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FF6" w:rsidRPr="005209E1" w:rsidTr="0079645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4.8. </w:t>
            </w:r>
            <w:r w:rsidRPr="002A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</w:t>
            </w:r>
            <w:proofErr w:type="spellStart"/>
            <w:r w:rsidRPr="002A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2A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профильных классах и классах с углубленным изучением отдельных предметов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классов, выбравших предметы для сдачи государственной итоговой аттестации, изучаемых на углубленном уровне, от общей численности выпускников 11 класса, изучавших учебные предметы на углубленном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2A3171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 и/или 11 классов в текущем году, поступивших    в профессиональные образовательные организации по профилю обучения, от общей численности всех выпускников 9 и/или 11 классов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E0FF6" w:rsidRPr="005209E1" w:rsidTr="0079645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Успешность зачисления в образовательную организацию высшего образования в соответствии с выбранным профилем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2A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поступивших в образовательные организации высшего образования по профилю обучения, от общей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исленности всех выпускников 11 классов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E0FF6" w:rsidRPr="005209E1" w:rsidTr="0079645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4.10. </w:t>
            </w: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Учет обучающихся с ограниченными возможностями здоровья (далее – ОВЗ), поступивших в профессиональные образовательные организации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доля выпускников 9 и/или 11 классов с ОВЗ общеобразовательных организаций, поступивших в профессиональные образовательные организации, в том числе по адаптированным образовательным программам, от общей численности всех выпускников 9 и/или 11 классов с ОВЗ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FF6" w:rsidRPr="005209E1" w:rsidTr="0079645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Учет обучающихся, поступивших в профессиональные образовательные организации региона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поступивших в профессиональные образовательные организации Пермского края в текущем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профессиональные образовательные организации Пермского края, от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числа всех выпускников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FF6" w:rsidRPr="005209E1" w:rsidTr="0079645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4.12. </w:t>
            </w: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выбранных обучающимися профессиональных образовательных организаций и образовательных организаций высшего образования специальностей потребностям рынка труда региона</w:t>
            </w:r>
          </w:p>
        </w:tc>
      </w:tr>
      <w:tr w:rsidR="00BE0FF6" w:rsidRPr="005209E1" w:rsidTr="00BE0FF6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 и </w:t>
            </w: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>11 классов,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тупивших на естественнонаучные </w:t>
            </w: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>и технические направления подготовки, от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всех выпускников 9 и  </w:t>
            </w: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62E5" w:rsidRPr="005209E1" w:rsidTr="00796453">
        <w:tc>
          <w:tcPr>
            <w:tcW w:w="905" w:type="pc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4095" w:type="pct"/>
            <w:gridSpan w:val="6"/>
          </w:tcPr>
          <w:p w:rsidR="00136C44" w:rsidRPr="00136C44" w:rsidRDefault="00136C44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Мониторинг осуществляется на основе:</w:t>
            </w:r>
          </w:p>
          <w:p w:rsidR="00136C44" w:rsidRPr="00136C44" w:rsidRDefault="00136C44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2E3CD7">
              <w:rPr>
                <w:rFonts w:ascii="Times New Roman" w:hAnsi="Times New Roman" w:cs="Times New Roman"/>
                <w:sz w:val="24"/>
                <w:szCs w:val="24"/>
              </w:rPr>
              <w:t xml:space="preserve">мации муниципальных баз данных, </w:t>
            </w: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официальных данных, опубликованных на сай</w:t>
            </w:r>
            <w:r w:rsidR="002E3CD7">
              <w:rPr>
                <w:rFonts w:ascii="Times New Roman" w:hAnsi="Times New Roman" w:cs="Times New Roman"/>
                <w:sz w:val="24"/>
                <w:szCs w:val="24"/>
              </w:rPr>
              <w:t xml:space="preserve">те образовательной организации, </w:t>
            </w: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и иных отчётов образовательных </w:t>
            </w:r>
            <w:r w:rsidR="007E0F80" w:rsidRPr="00136C44">
              <w:rPr>
                <w:rFonts w:ascii="Times New Roman" w:hAnsi="Times New Roman" w:cs="Times New Roman"/>
                <w:sz w:val="24"/>
                <w:szCs w:val="24"/>
              </w:rPr>
              <w:t>организаций по</w:t>
            </w: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самоопределению и профориентации;   </w:t>
            </w:r>
          </w:p>
          <w:p w:rsidR="007E0F80" w:rsidRDefault="00136C44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источников информации при проведении Мониторингаиспользуются: </w:t>
            </w:r>
          </w:p>
          <w:p w:rsidR="00136C44" w:rsidRPr="00136C44" w:rsidRDefault="00136C44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проводимых </w:t>
            </w:r>
            <w:proofErr w:type="spell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их участниках, статистические данные образовательных организаций, данные об участии в проектах, результаты </w:t>
            </w:r>
            <w:proofErr w:type="spell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тестирований, </w:t>
            </w:r>
            <w:proofErr w:type="spell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др.</w:t>
            </w:r>
          </w:p>
          <w:p w:rsidR="0010002F" w:rsidRPr="00B76881" w:rsidRDefault="00136C44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При осуществлении сбора и обработки информации используются выборочный метод, метод измерений, анализ и др.</w:t>
            </w:r>
          </w:p>
        </w:tc>
      </w:tr>
      <w:tr w:rsidR="000762E5" w:rsidRPr="005209E1" w:rsidTr="00796453">
        <w:tc>
          <w:tcPr>
            <w:tcW w:w="905" w:type="pct"/>
            <w:vMerge w:val="restart"/>
          </w:tcPr>
          <w:p w:rsidR="001B7F0A" w:rsidRDefault="001B7F0A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показателей</w:t>
            </w:r>
          </w:p>
        </w:tc>
        <w:tc>
          <w:tcPr>
            <w:tcW w:w="4095" w:type="pct"/>
            <w:gridSpan w:val="6"/>
          </w:tcPr>
          <w:p w:rsidR="000762E5" w:rsidRDefault="00EA65B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проведению</w:t>
            </w:r>
            <w:r w:rsidRPr="00EA65B2">
              <w:rPr>
                <w:rFonts w:ascii="Times New Roman" w:hAnsi="Times New Roman" w:cs="Times New Roman"/>
                <w:sz w:val="24"/>
                <w:szCs w:val="24"/>
              </w:rPr>
              <w:t xml:space="preserve"> ранней профориентации обучающихся</w:t>
            </w:r>
            <w:r w:rsidR="001B7F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F0A" w:rsidRPr="001B7F0A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6-7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</w:t>
            </w:r>
            <w:proofErr w:type="spellStart"/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мероприятиями, в том числе с использованием открытых онлайн-уроков, чел.;</w:t>
            </w:r>
          </w:p>
          <w:p w:rsidR="001B7F0A" w:rsidRPr="005209E1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доля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 4 классов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справившихся с заданиями Всероссийских проверочных работ по предмету «Окружающий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ВПР)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 по окружающему миру), устанавливающих оценку </w:t>
            </w:r>
            <w:proofErr w:type="spellStart"/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массовых профессиях, от общей численности всех обучающихся 4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участвовавших в ВПР по окружающему миру,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1B7F0A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выявлению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предпочтений </w:t>
            </w:r>
            <w:r w:rsidR="007E0F80" w:rsidRPr="001B7F0A">
              <w:rPr>
                <w:rFonts w:ascii="Times New Roman" w:hAnsi="Times New Roman" w:cs="Times New Roman"/>
                <w:sz w:val="24"/>
                <w:szCs w:val="24"/>
              </w:rPr>
              <w:t>обучающихся на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уровне ООО в области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F0A" w:rsidRPr="001B7F0A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основным образовательным программам основного общего образования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прошедших онлайн-диагностику в рамках проекта «Билет в будущее», от общей численности всех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образовательным программам основного общего образования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1B7F0A" w:rsidRPr="001B7F0A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8 </w:t>
            </w:r>
            <w:r w:rsidR="007E0F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E0F80" w:rsidRPr="001B7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диагностику готовности </w:t>
            </w:r>
          </w:p>
          <w:p w:rsidR="000762E5" w:rsidRPr="005209E1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к профессиональному самоопределению, от общей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всех обучающихся 8 и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сопровождению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самоопределения обучающихся на уровне ООО (в том числе обучающихся с 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F0A" w:rsidRPr="005209E1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доля обучающихся 5-9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охваченных мероприятиями,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нными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на раннюю профессиональную ориентацию, в том числе в рамках программы «Билет в будущее», от общей численности всех обучающихся 5-9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F0A" w:rsidRPr="005209E1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в профессиональные образовательные организации в текущем году, от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AC7C1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выявлению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предпочтений обучающихся на уровне среднего общего образования (далее – СОО) в области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C1A" w:rsidRPr="005209E1" w:rsidRDefault="00AC7C1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10-11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принимающих участие в </w:t>
            </w:r>
            <w:r w:rsidRPr="00C91C0B">
              <w:rPr>
                <w:rFonts w:ascii="Times New Roman" w:hAnsi="Times New Roman" w:cs="Times New Roman"/>
                <w:sz w:val="24"/>
                <w:szCs w:val="24"/>
              </w:rPr>
              <w:t xml:space="preserve">краевом проекте «Открытый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направлениям/предметам, чел;</w:t>
            </w:r>
          </w:p>
        </w:tc>
      </w:tr>
      <w:tr w:rsidR="001B7F0A" w:rsidRPr="005209E1" w:rsidTr="00796453">
        <w:tc>
          <w:tcPr>
            <w:tcW w:w="905" w:type="pct"/>
            <w:vMerge/>
          </w:tcPr>
          <w:p w:rsidR="001B7F0A" w:rsidRPr="005209E1" w:rsidRDefault="001B7F0A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1B7F0A" w:rsidRDefault="00AC7C1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сопровождению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самоопределения обучающихся на уровне СОО (в том числе обучающихся с 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C1A" w:rsidRPr="00AC7C1A" w:rsidRDefault="00AC7C1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, осуществляющих взаимодействие с учреждениями/предприятиями                     в рамках соглашений/договоров о сотрудничестве, договоров о сетевом взаимодействии/о сетевой форме реализации образовательных программ, от общего количества всех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ЛГО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AC7C1A" w:rsidRPr="005209E1" w:rsidRDefault="00AC7C1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доля обучающихся 10-11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тиях, организованных  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партнерства школ с профессиональными образовательными организациями и (или) образовательными организациями высшего образования, от общей численности всех обучающихся 10-11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обучающимися на уровне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AC2" w:rsidRPr="009F7AC2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в профессиональные 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в текущем году, от общего количества выпускников 11 классовобщеобр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%;</w:t>
            </w:r>
          </w:p>
          <w:p w:rsidR="009F7AC2" w:rsidRPr="005209E1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, поступивших в образовательные организации высшего образования в текущем году,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%</w:t>
            </w:r>
          </w:p>
        </w:tc>
      </w:tr>
      <w:tr w:rsidR="00AC7C1A" w:rsidRPr="005209E1" w:rsidTr="00796453">
        <w:tc>
          <w:tcPr>
            <w:tcW w:w="905" w:type="pct"/>
            <w:vMerge/>
          </w:tcPr>
          <w:p w:rsidR="00AC7C1A" w:rsidRPr="005209E1" w:rsidRDefault="00AC7C1A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AC7C1A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профильных классах и классах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AC2" w:rsidRPr="009F7AC2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, выбравших предметы для сдачи государственной итоговой аттестации, изучаемых на углубленном уровне, от общей численности выпускников 11 класса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, изучавших учебные предметы на углубленном уровне, %;</w:t>
            </w:r>
          </w:p>
          <w:p w:rsidR="009F7AC2" w:rsidRPr="005209E1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9 и 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поступивших                               в профессиональные образовательные организации по профилю обучения, от общей численности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 выпускников 9 и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EC0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7AC2" w:rsidRPr="005209E1" w:rsidTr="00796453">
        <w:tc>
          <w:tcPr>
            <w:tcW w:w="905" w:type="pct"/>
            <w:vMerge/>
          </w:tcPr>
          <w:p w:rsidR="009F7AC2" w:rsidRPr="005209E1" w:rsidRDefault="009F7AC2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9F7AC2" w:rsidRDefault="00004828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успешности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 в образовательную организацию высшего образования в соответствии с выбранным профилем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4828" w:rsidRPr="005209E1" w:rsidRDefault="00004828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, поступивших в образовательные организации высшего образования по профилю обучения, от общей численности всех выпускников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EC0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7AC2" w:rsidRPr="005209E1" w:rsidTr="00796453">
        <w:tc>
          <w:tcPr>
            <w:tcW w:w="905" w:type="pct"/>
            <w:vMerge/>
          </w:tcPr>
          <w:p w:rsidR="009F7AC2" w:rsidRPr="005209E1" w:rsidRDefault="009F7AC2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9F7AC2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учёту</w:t>
            </w:r>
            <w:r w:rsidR="00004828" w:rsidRPr="00004828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 (далее – ОВЗ), поступивших в профессиональные образовательные организации</w:t>
            </w:r>
            <w:r w:rsidR="00004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4828" w:rsidRPr="005209E1" w:rsidRDefault="00004828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выпускников 9 и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с ОВЗ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, поступивших в профессиональные образовательные организации, в том числе по адаптированным образовательным программам, от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всех выпускников 9 и 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11 классов с ОВЗ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EC0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7AC2" w:rsidRPr="005209E1" w:rsidTr="00796453">
        <w:tc>
          <w:tcPr>
            <w:tcW w:w="905" w:type="pct"/>
            <w:vMerge/>
          </w:tcPr>
          <w:p w:rsidR="009F7AC2" w:rsidRPr="005209E1" w:rsidRDefault="009F7AC2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9F7AC2" w:rsidRDefault="00B7371E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Pr="00B7371E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37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поступивших в профессиональные образовательные организации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BD2" w:rsidRPr="00EC0BD2" w:rsidRDefault="00EC0BD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поступивших в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образовательные организации и 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Пермского края в текущем году,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71E" w:rsidRPr="005209E1" w:rsidRDefault="00EC0BD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, поступивших в профессиональные образовательные организации Пермского края, от общего числа всех выпускников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EC0BD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соответствию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выбранных обучающимися профессиональных образовательных организаций и образовательных организаций высшего образования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потребностям рынка труда ЛГО и Пермского края:</w:t>
            </w:r>
          </w:p>
          <w:p w:rsidR="00EC0BD2" w:rsidRPr="005209E1" w:rsidRDefault="00EC0BD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доля выпускников 9 и/или 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, поступивших на естественнонаучные и технические направления подготовки, от общей численности всех выпускников 9 и/или 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762E5" w:rsidRPr="005209E1" w:rsidTr="00796453">
        <w:tc>
          <w:tcPr>
            <w:tcW w:w="905" w:type="pct"/>
            <w:vMerge w:val="restar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мониторинга </w:t>
            </w: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проведению ранней профориентации обучающихся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предпочтений обучающихся  на уровне ООО в области профессиональной ориентации 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профессионального самоопределения обучающихся на уровне ООО (в том числе обучающихся с ОВЗ)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основного общего образования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предпочтений обучающихся на уровне среднего общего образования (далее – СОО) в области </w:t>
            </w:r>
            <w:r w:rsidRPr="0087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ориентации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профессионального самоопределения обучающихся на уровне СОО (в том числе обучающихся с ОВЗ)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выбору профессии обучающимися на уровне СОО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эффективности </w:t>
            </w:r>
            <w:proofErr w:type="spellStart"/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71DE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профильных классах и классах с углубленным изучением отдельных предметов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уровню успешности зачисления в образовательную организацию высшего образования в соответствии с выбранным профилем</w:t>
            </w:r>
          </w:p>
        </w:tc>
      </w:tr>
      <w:tr w:rsidR="00871DE0" w:rsidRPr="005209E1" w:rsidTr="00796453">
        <w:tc>
          <w:tcPr>
            <w:tcW w:w="905" w:type="pct"/>
          </w:tcPr>
          <w:p w:rsidR="00871DE0" w:rsidRPr="005209E1" w:rsidRDefault="00871DE0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871DE0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учёту</w:t>
            </w: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(далее – ОВЗ), поступивших в профессиональные образовательные организации</w:t>
            </w:r>
          </w:p>
        </w:tc>
      </w:tr>
      <w:tr w:rsidR="00871DE0" w:rsidRPr="005209E1" w:rsidTr="00796453">
        <w:tc>
          <w:tcPr>
            <w:tcW w:w="905" w:type="pct"/>
          </w:tcPr>
          <w:p w:rsidR="00871DE0" w:rsidRPr="005209E1" w:rsidRDefault="00871DE0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871DE0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учету обучающихся, поступивших в профессиональные образовательные организации региона</w:t>
            </w:r>
          </w:p>
        </w:tc>
      </w:tr>
      <w:tr w:rsidR="00871DE0" w:rsidRPr="005209E1" w:rsidTr="00796453">
        <w:tc>
          <w:tcPr>
            <w:tcW w:w="905" w:type="pct"/>
          </w:tcPr>
          <w:p w:rsidR="00871DE0" w:rsidRPr="005209E1" w:rsidRDefault="00871DE0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871DE0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соответствию выбранных обучающимися профессиональных образовательных организаций и образовательных организаций высшего образования специальностей потребностям рынка труда ЛГО и Пермского края</w:t>
            </w:r>
          </w:p>
        </w:tc>
      </w:tr>
      <w:tr w:rsidR="000762E5" w:rsidRPr="005209E1" w:rsidTr="00796453">
        <w:tc>
          <w:tcPr>
            <w:tcW w:w="905" w:type="pct"/>
            <w:vMerge w:val="restar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рекомендации по результатам анализа</w:t>
            </w:r>
          </w:p>
        </w:tc>
        <w:tc>
          <w:tcPr>
            <w:tcW w:w="4095" w:type="pct"/>
            <w:gridSpan w:val="6"/>
          </w:tcPr>
          <w:p w:rsidR="000762E5" w:rsidRPr="005209E1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рекомендаций, разработанных с учетом анализа результатов мониторинга показателей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и иных материалов, разработанных с учетом анализа результатов мониторинга показателей</w:t>
            </w:r>
          </w:p>
        </w:tc>
      </w:tr>
      <w:tr w:rsidR="000762E5" w:rsidRPr="005209E1" w:rsidTr="00796453">
        <w:trPr>
          <w:trHeight w:val="840"/>
        </w:trPr>
        <w:tc>
          <w:tcPr>
            <w:tcW w:w="905" w:type="pct"/>
            <w:vMerge w:val="restar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Меры, мероприятия</w:t>
            </w: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у обучающихся позитивного отношения к профессионально-трудовой деятельности</w:t>
            </w:r>
            <w:r w:rsidR="00A00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B3C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 «Мой выбор»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профориентация);</w:t>
            </w:r>
          </w:p>
          <w:p w:rsidR="00A00B3C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A00B3C" w:rsidRPr="005209E1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пробы.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совместно с учреждениями / предприятиями, ОО, центрами </w:t>
            </w:r>
            <w:proofErr w:type="spellStart"/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практической подготовки, в том числе с учетом межведомственного взаимодействия</w:t>
            </w:r>
            <w:r w:rsidR="00A00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B3C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на предприятия города и Пермского края;</w:t>
            </w:r>
          </w:p>
          <w:p w:rsidR="00A00B3C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в ЦЗН;</w:t>
            </w:r>
          </w:p>
          <w:p w:rsidR="00A00B3C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ВУЗов;</w:t>
            </w:r>
          </w:p>
          <w:p w:rsidR="00A00B3C" w:rsidRPr="005209E1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краевом проекте «Я знаю: город будет!» для обучающихся 9-х классов.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поддержку реализации школьных проектов, способствующих самоопределению и профессиональной ориентации, с привлечением работодателей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486" w:rsidRPr="005209E1" w:rsidRDefault="001F6486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тематических классных час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Принятие мер по формированию профильных педагогических классов в ОО</w:t>
            </w:r>
            <w:r w:rsidR="00D01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17BA" w:rsidRPr="005209E1" w:rsidRDefault="00D017B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профильного педагогического класса. 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 (законных представителей) по вопросам профессиональной ориентации обучающихся</w:t>
            </w:r>
            <w:r w:rsidR="00A00B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6486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родительские собрания для выпускников 9, 11 классов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486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«Семейный Форум – 2022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0762E5" w:rsidRPr="005209E1" w:rsidTr="00796453">
        <w:tc>
          <w:tcPr>
            <w:tcW w:w="905" w:type="pc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Управленческие решения</w:t>
            </w:r>
          </w:p>
        </w:tc>
        <w:tc>
          <w:tcPr>
            <w:tcW w:w="4095" w:type="pct"/>
            <w:gridSpan w:val="6"/>
          </w:tcPr>
          <w:p w:rsidR="001C6867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результатам проведенного анализа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62E5" w:rsidRPr="005209E1" w:rsidRDefault="001C6867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единой муниципальной программы по самоопределению и профессиональной ориентации. </w:t>
            </w:r>
          </w:p>
        </w:tc>
      </w:tr>
      <w:tr w:rsidR="000762E5" w:rsidRPr="005209E1" w:rsidTr="00796453">
        <w:tc>
          <w:tcPr>
            <w:tcW w:w="905" w:type="pc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проведенных мероприятий, принятых мер и управленческих решений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867" w:rsidRPr="005209E1" w:rsidRDefault="001C6867" w:rsidP="0089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7BA" w:rsidRPr="0089468A">
              <w:rPr>
                <w:rFonts w:ascii="Times New Roman" w:hAnsi="Times New Roman" w:cs="Times New Roman"/>
                <w:sz w:val="24"/>
                <w:szCs w:val="24"/>
              </w:rPr>
              <w:t>анализ реализации единой муниципальной программы по самоопределению и профессиональной ориентации  в мае 202</w:t>
            </w:r>
            <w:r w:rsidR="0089468A" w:rsidRPr="00894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7BA" w:rsidRPr="0089468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FA76F6" w:rsidRDefault="00FA76F6">
      <w:pPr>
        <w:rPr>
          <w:rFonts w:ascii="Times New Roman" w:hAnsi="Times New Roman" w:cs="Times New Roman"/>
          <w:b/>
          <w:sz w:val="24"/>
          <w:szCs w:val="24"/>
        </w:rPr>
      </w:pPr>
    </w:p>
    <w:sectPr w:rsidR="00FA76F6" w:rsidSect="00570F1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698"/>
    <w:multiLevelType w:val="hybridMultilevel"/>
    <w:tmpl w:val="B1A6BB4E"/>
    <w:lvl w:ilvl="0" w:tplc="37482A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423E6"/>
    <w:multiLevelType w:val="hybridMultilevel"/>
    <w:tmpl w:val="FECEB348"/>
    <w:lvl w:ilvl="0" w:tplc="B08ED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1473B"/>
    <w:multiLevelType w:val="hybridMultilevel"/>
    <w:tmpl w:val="737AAF34"/>
    <w:lvl w:ilvl="0" w:tplc="8D9E6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B8199A"/>
    <w:multiLevelType w:val="hybridMultilevel"/>
    <w:tmpl w:val="318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340"/>
    <w:multiLevelType w:val="hybridMultilevel"/>
    <w:tmpl w:val="281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5F2A"/>
    <w:multiLevelType w:val="hybridMultilevel"/>
    <w:tmpl w:val="B2C8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1778"/>
    <w:multiLevelType w:val="hybridMultilevel"/>
    <w:tmpl w:val="7B2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5B6"/>
    <w:multiLevelType w:val="hybridMultilevel"/>
    <w:tmpl w:val="C03A2A54"/>
    <w:lvl w:ilvl="0" w:tplc="95A2F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3755D3"/>
    <w:multiLevelType w:val="hybridMultilevel"/>
    <w:tmpl w:val="8990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C767D"/>
    <w:multiLevelType w:val="hybridMultilevel"/>
    <w:tmpl w:val="80F6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A30A6"/>
    <w:multiLevelType w:val="hybridMultilevel"/>
    <w:tmpl w:val="0E34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4953"/>
    <w:multiLevelType w:val="hybridMultilevel"/>
    <w:tmpl w:val="6E0E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B3A"/>
    <w:rsid w:val="000005A8"/>
    <w:rsid w:val="0000085C"/>
    <w:rsid w:val="00004828"/>
    <w:rsid w:val="0001171C"/>
    <w:rsid w:val="000253F6"/>
    <w:rsid w:val="000527EB"/>
    <w:rsid w:val="000762E5"/>
    <w:rsid w:val="000A2812"/>
    <w:rsid w:val="000C5BE8"/>
    <w:rsid w:val="000E127D"/>
    <w:rsid w:val="0010002F"/>
    <w:rsid w:val="001032A3"/>
    <w:rsid w:val="00106704"/>
    <w:rsid w:val="00136C44"/>
    <w:rsid w:val="00163706"/>
    <w:rsid w:val="001B1AA1"/>
    <w:rsid w:val="001B7F0A"/>
    <w:rsid w:val="001C3E19"/>
    <w:rsid w:val="001C6867"/>
    <w:rsid w:val="001E64F1"/>
    <w:rsid w:val="001F6486"/>
    <w:rsid w:val="00200F79"/>
    <w:rsid w:val="00256FB3"/>
    <w:rsid w:val="0025728A"/>
    <w:rsid w:val="0027361E"/>
    <w:rsid w:val="00280445"/>
    <w:rsid w:val="002A0E89"/>
    <w:rsid w:val="002A3171"/>
    <w:rsid w:val="002E3CD7"/>
    <w:rsid w:val="003145F7"/>
    <w:rsid w:val="0032340C"/>
    <w:rsid w:val="003640A1"/>
    <w:rsid w:val="0036793E"/>
    <w:rsid w:val="00391361"/>
    <w:rsid w:val="003B7D73"/>
    <w:rsid w:val="003C0938"/>
    <w:rsid w:val="003F1F0F"/>
    <w:rsid w:val="003F6581"/>
    <w:rsid w:val="00457C52"/>
    <w:rsid w:val="004666C2"/>
    <w:rsid w:val="00493CAB"/>
    <w:rsid w:val="00497979"/>
    <w:rsid w:val="004A2EE4"/>
    <w:rsid w:val="005209E1"/>
    <w:rsid w:val="0056613B"/>
    <w:rsid w:val="00570F12"/>
    <w:rsid w:val="0058048C"/>
    <w:rsid w:val="00594AFE"/>
    <w:rsid w:val="005A2A89"/>
    <w:rsid w:val="005F50C4"/>
    <w:rsid w:val="00602723"/>
    <w:rsid w:val="00603ED0"/>
    <w:rsid w:val="00690B11"/>
    <w:rsid w:val="006C220B"/>
    <w:rsid w:val="006D47A1"/>
    <w:rsid w:val="00721117"/>
    <w:rsid w:val="007445C4"/>
    <w:rsid w:val="00796453"/>
    <w:rsid w:val="007A0FCC"/>
    <w:rsid w:val="007B1847"/>
    <w:rsid w:val="007E0F80"/>
    <w:rsid w:val="007E6F9F"/>
    <w:rsid w:val="007E7544"/>
    <w:rsid w:val="007F7272"/>
    <w:rsid w:val="008166A5"/>
    <w:rsid w:val="00871DE0"/>
    <w:rsid w:val="00880902"/>
    <w:rsid w:val="0089468A"/>
    <w:rsid w:val="008A4C01"/>
    <w:rsid w:val="008B20C6"/>
    <w:rsid w:val="008E653B"/>
    <w:rsid w:val="00910373"/>
    <w:rsid w:val="009C1B20"/>
    <w:rsid w:val="009C1BA2"/>
    <w:rsid w:val="009D28CC"/>
    <w:rsid w:val="009E2D6D"/>
    <w:rsid w:val="009F7AC2"/>
    <w:rsid w:val="00A00B3C"/>
    <w:rsid w:val="00A12DBA"/>
    <w:rsid w:val="00A14DB2"/>
    <w:rsid w:val="00A4368E"/>
    <w:rsid w:val="00A752AE"/>
    <w:rsid w:val="00AC78DF"/>
    <w:rsid w:val="00AC7C1A"/>
    <w:rsid w:val="00AD3AE9"/>
    <w:rsid w:val="00AD7801"/>
    <w:rsid w:val="00AE696D"/>
    <w:rsid w:val="00AE7C66"/>
    <w:rsid w:val="00AF400F"/>
    <w:rsid w:val="00B03D91"/>
    <w:rsid w:val="00B715DD"/>
    <w:rsid w:val="00B7371E"/>
    <w:rsid w:val="00B75B3A"/>
    <w:rsid w:val="00B76881"/>
    <w:rsid w:val="00B95613"/>
    <w:rsid w:val="00B95B33"/>
    <w:rsid w:val="00BB232B"/>
    <w:rsid w:val="00BB2F55"/>
    <w:rsid w:val="00BC76EC"/>
    <w:rsid w:val="00BE0FF6"/>
    <w:rsid w:val="00C05511"/>
    <w:rsid w:val="00C91C0B"/>
    <w:rsid w:val="00CA4092"/>
    <w:rsid w:val="00CB1EED"/>
    <w:rsid w:val="00CB33A4"/>
    <w:rsid w:val="00CC433A"/>
    <w:rsid w:val="00D017BA"/>
    <w:rsid w:val="00D11C22"/>
    <w:rsid w:val="00D43985"/>
    <w:rsid w:val="00D50DBE"/>
    <w:rsid w:val="00D5358F"/>
    <w:rsid w:val="00D659A4"/>
    <w:rsid w:val="00D816CB"/>
    <w:rsid w:val="00DA4472"/>
    <w:rsid w:val="00DA7314"/>
    <w:rsid w:val="00DC5CB0"/>
    <w:rsid w:val="00DD4821"/>
    <w:rsid w:val="00DE7FE3"/>
    <w:rsid w:val="00DF7957"/>
    <w:rsid w:val="00E00CBA"/>
    <w:rsid w:val="00E269CA"/>
    <w:rsid w:val="00E5624C"/>
    <w:rsid w:val="00E614E2"/>
    <w:rsid w:val="00EA47EE"/>
    <w:rsid w:val="00EA65B2"/>
    <w:rsid w:val="00EC0BD2"/>
    <w:rsid w:val="00EC6685"/>
    <w:rsid w:val="00EE532D"/>
    <w:rsid w:val="00EF7FBD"/>
    <w:rsid w:val="00F0119C"/>
    <w:rsid w:val="00F01D17"/>
    <w:rsid w:val="00F302A2"/>
    <w:rsid w:val="00F511ED"/>
    <w:rsid w:val="00F74227"/>
    <w:rsid w:val="00F90EE2"/>
    <w:rsid w:val="00FA2CC2"/>
    <w:rsid w:val="00FA471C"/>
    <w:rsid w:val="00FA76F6"/>
    <w:rsid w:val="00FF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EDD1"/>
  <w15:docId w15:val="{F7C9585E-BA8E-4C04-A3E8-C6FF7796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70</cp:revision>
  <cp:lastPrinted>2021-08-24T10:54:00Z</cp:lastPrinted>
  <dcterms:created xsi:type="dcterms:W3CDTF">2021-07-16T01:05:00Z</dcterms:created>
  <dcterms:modified xsi:type="dcterms:W3CDTF">2022-11-23T10:52:00Z</dcterms:modified>
</cp:coreProperties>
</file>